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6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西门子DSA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3D功能升级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技术要求</w:t>
      </w:r>
    </w:p>
    <w:bookmarkEnd w:id="0"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本次采购内容为院内西门子Artis one血管造影机（DSA）的3D功能升级项目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升级须由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授权实施，确保设备兼容性、计量准确性及医疗合规性。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二、核心技术要求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升级过程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严格遵循原厂技术规范，不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得</w:t>
      </w:r>
      <w:r>
        <w:rPr>
          <w:rFonts w:hint="eastAsia" w:ascii="仿宋" w:hAnsi="仿宋" w:eastAsia="仿宋" w:cs="仿宋"/>
          <w:sz w:val="28"/>
          <w:szCs w:val="28"/>
        </w:rPr>
        <w:t>改装设备核心硬件结构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，不得改变注册证号，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设备须仍符合国家医疗器械注册技术标准，满足计量检定要求。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功能升级须通过官方认定开通3D重建功能，完成重建软件的版本更新与优化，并对接信息系统，满足医院正常应用要求。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实施方须由专业工程师进行现场调试、校准、测试，并进行临床操作应用培训。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升级完成并验收合格后，须提供升级功能（3D相关软件功能）的质保期</w:t>
      </w:r>
      <w:r>
        <w:rPr>
          <w:rFonts w:hint="eastAsia" w:ascii="仿宋" w:hAnsi="仿宋" w:eastAsia="仿宋" w:cs="仿宋"/>
          <w:sz w:val="28"/>
          <w:szCs w:val="28"/>
        </w:rPr>
        <w:t>≥12个月。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296</Characters>
  <Paragraphs>6</Paragraphs>
  <TotalTime>13</TotalTime>
  <ScaleCrop>false</ScaleCrop>
  <LinksUpToDate>false</LinksUpToDate>
  <CharactersWithSpaces>298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2026-01-19T02:17:00Z</dcterms:created>
  <dc:creator>admin</dc:creator>
  <cp:lastModifiedBy>admin</cp:lastModifiedBy>
  <cp:lastPrinted>2026-04-17T03:16:00Z</cp:lastPrinted>
  <dcterms:modified xsi:type="dcterms:W3CDTF">2026-05-04T06:11:26Z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eyJoZGlkIjoiYmQ3MWU4NjhkNmVhMzYxZTc5NTQxYjRiMGI4ZWI1MWYiLCJ1c2VySWQiOiIzNzk5NTc3NTUifQ==</vt:lpwstr>
  </property>
  <property fmtid="{D5CDD505-2E9C-101B-9397-08002B2CF9AE}" pid="4" name="ICV">
    <vt:lpwstr>ad47832bde40412a8bfe50f88e39bead_23</vt:lpwstr>
  </property>
</Properties>
</file>