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脑科医院眩晕中心一批次医疗设备打包采购</w:t>
      </w:r>
      <w:r>
        <w:rPr>
          <w:rFonts w:hint="eastAsia"/>
          <w:sz w:val="36"/>
          <w:szCs w:val="36"/>
          <w:lang w:eastAsia="zh-CN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092147F6"/>
    <w:rsid w:val="16EB7EDC"/>
    <w:rsid w:val="18055F00"/>
    <w:rsid w:val="19DE28F4"/>
    <w:rsid w:val="1CDF7552"/>
    <w:rsid w:val="1EDF474D"/>
    <w:rsid w:val="240E4E86"/>
    <w:rsid w:val="2D675965"/>
    <w:rsid w:val="31385A72"/>
    <w:rsid w:val="328B0407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2021-04-16T02:29:59Z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A4E7872A629E42EEB13BEF8697E4FDEE</vt:lpwstr>
  </property>
</Properties>
</file>